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C7" w:rsidRDefault="00227BC7">
      <w:pPr>
        <w:pStyle w:val="ChapTitle"/>
        <w:rPr>
          <w:sz w:val="28"/>
        </w:rPr>
      </w:pPr>
      <w:r>
        <w:rPr>
          <w:sz w:val="28"/>
        </w:rPr>
        <w:t>Course Syllabus</w:t>
      </w:r>
    </w:p>
    <w:p w:rsidR="00280438" w:rsidRDefault="003D539D" w:rsidP="00280438">
      <w:pPr>
        <w:pStyle w:val="ChapTitle"/>
      </w:pPr>
      <w:r>
        <w:t>Home Mainten</w:t>
      </w:r>
      <w:r w:rsidR="001839EF">
        <w:t>a</w:t>
      </w:r>
      <w:r>
        <w:t>nce</w:t>
      </w:r>
    </w:p>
    <w:p w:rsidR="00013AA0" w:rsidRDefault="00013AA0" w:rsidP="00013AA0">
      <w:pPr>
        <w:pStyle w:val="Head1"/>
      </w:pPr>
      <w:r>
        <w:t>Course Description</w:t>
      </w:r>
    </w:p>
    <w:p w:rsidR="00DD757C" w:rsidRPr="00BA1641" w:rsidRDefault="001839EF" w:rsidP="00BA1641">
      <w:pPr>
        <w:pStyle w:val="Head1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BA1641">
        <w:rPr>
          <w:rFonts w:asciiTheme="majorHAnsi" w:hAnsiTheme="majorHAnsi"/>
          <w:color w:val="000000"/>
          <w:sz w:val="24"/>
          <w:szCs w:val="24"/>
        </w:rPr>
        <w:t xml:space="preserve">Home Maintenance provides students with the basic information </w:t>
      </w:r>
      <w:r w:rsidR="00DD757C" w:rsidRPr="00BA1641">
        <w:rPr>
          <w:rFonts w:asciiTheme="majorHAnsi" w:hAnsiTheme="majorHAnsi"/>
          <w:color w:val="000000"/>
          <w:sz w:val="24"/>
          <w:szCs w:val="24"/>
        </w:rPr>
        <w:t>needed</w:t>
      </w:r>
      <w:r w:rsidR="00BA164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BA1641">
        <w:rPr>
          <w:rFonts w:asciiTheme="majorHAnsi" w:hAnsiTheme="majorHAnsi"/>
          <w:color w:val="000000"/>
          <w:sz w:val="24"/>
          <w:szCs w:val="24"/>
        </w:rPr>
        <w:t xml:space="preserve">to safely use hand tools, power tools, and assorted building materials. This </w:t>
      </w:r>
      <w:r w:rsidR="00DD757C" w:rsidRPr="00BA1641">
        <w:rPr>
          <w:rFonts w:asciiTheme="majorHAnsi" w:hAnsiTheme="majorHAnsi"/>
          <w:color w:val="000000"/>
          <w:sz w:val="24"/>
          <w:szCs w:val="24"/>
        </w:rPr>
        <w:t>course</w:t>
      </w:r>
      <w:r w:rsidRPr="00BA1641">
        <w:rPr>
          <w:rFonts w:asciiTheme="majorHAnsi" w:hAnsiTheme="majorHAnsi"/>
          <w:color w:val="000000"/>
          <w:sz w:val="24"/>
          <w:szCs w:val="24"/>
        </w:rPr>
        <w:t xml:space="preserve"> teaches students the skills and techniques used in carpentry, masonry, plumbing, electrical wiring, and other building trades, as related to home</w:t>
      </w:r>
      <w:r w:rsidR="00BA164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D757C" w:rsidRPr="00BA1641">
        <w:rPr>
          <w:rFonts w:asciiTheme="majorHAnsi" w:hAnsiTheme="majorHAnsi"/>
          <w:color w:val="000000"/>
          <w:sz w:val="24"/>
          <w:szCs w:val="24"/>
        </w:rPr>
        <w:t>r</w:t>
      </w:r>
      <w:r w:rsidRPr="00BA1641">
        <w:rPr>
          <w:rFonts w:asciiTheme="majorHAnsi" w:hAnsiTheme="majorHAnsi"/>
          <w:color w:val="000000"/>
          <w:sz w:val="24"/>
          <w:szCs w:val="24"/>
        </w:rPr>
        <w:t>epair.</w:t>
      </w:r>
    </w:p>
    <w:p w:rsidR="00013AA0" w:rsidRDefault="00013AA0" w:rsidP="00DD757C">
      <w:pPr>
        <w:pStyle w:val="Head1"/>
        <w:ind w:left="0"/>
      </w:pPr>
      <w:r>
        <w:t>Objectives</w:t>
      </w:r>
    </w:p>
    <w:p w:rsidR="00013AA0" w:rsidRPr="006A15B1" w:rsidRDefault="00013AA0" w:rsidP="00FD1F79">
      <w:pPr>
        <w:pStyle w:val="BodyKeep"/>
        <w:spacing w:line="276" w:lineRule="auto"/>
        <w:rPr>
          <w:sz w:val="24"/>
        </w:rPr>
      </w:pPr>
      <w:r w:rsidRPr="006A15B1">
        <w:rPr>
          <w:sz w:val="24"/>
        </w:rPr>
        <w:t xml:space="preserve">After a series of </w:t>
      </w:r>
      <w:r w:rsidR="002A1D9E">
        <w:rPr>
          <w:sz w:val="24"/>
        </w:rPr>
        <w:t xml:space="preserve">classroom </w:t>
      </w:r>
      <w:r w:rsidR="005036FF">
        <w:rPr>
          <w:sz w:val="24"/>
        </w:rPr>
        <w:t xml:space="preserve">work </w:t>
      </w:r>
      <w:r w:rsidR="002A1D9E">
        <w:rPr>
          <w:sz w:val="24"/>
        </w:rPr>
        <w:t>and hands on activities</w:t>
      </w:r>
      <w:r w:rsidRPr="006A15B1">
        <w:rPr>
          <w:sz w:val="24"/>
        </w:rPr>
        <w:t xml:space="preserve">, the student will be able to </w:t>
      </w:r>
      <w:r w:rsidR="0092613B">
        <w:rPr>
          <w:sz w:val="24"/>
        </w:rPr>
        <w:t>identify and/or have experience with the</w:t>
      </w:r>
      <w:r w:rsidRPr="006A15B1">
        <w:rPr>
          <w:sz w:val="24"/>
        </w:rPr>
        <w:t xml:space="preserve"> following:</w:t>
      </w:r>
    </w:p>
    <w:tbl>
      <w:tblPr>
        <w:tblW w:w="10470" w:type="dxa"/>
        <w:tblCellSpacing w:w="15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5235"/>
        <w:gridCol w:w="5235"/>
      </w:tblGrid>
      <w:tr w:rsidR="001839EF" w:rsidRPr="001839EF" w:rsidTr="001839EF">
        <w:trPr>
          <w:tblCellSpacing w:w="15" w:type="dxa"/>
        </w:trPr>
        <w:tc>
          <w:tcPr>
            <w:tcW w:w="4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 xml:space="preserve">  2. Home Safety 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4. Basic Hand Tools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5. Power Tools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6. Fasteners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7. Lumber and Building Materials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8. Structural Parts of the House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  9. Exterior Wall Coverings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10. Roof Covering and Gutter Repair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11. Doors and Windows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12. Interior Walls and Ceilings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13. Floor Coverings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 xml:space="preserve">15. Concrete, Masonry 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16. Landscape Maintenance</w:t>
            </w:r>
          </w:p>
          <w:p w:rsidR="001839EF" w:rsidRPr="001839EF" w:rsidRDefault="001839EF" w:rsidP="002A1D9E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 xml:space="preserve">17. </w:t>
            </w:r>
          </w:p>
        </w:tc>
        <w:tc>
          <w:tcPr>
            <w:tcW w:w="4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F" w:rsidRPr="001839EF" w:rsidRDefault="001839EF" w:rsidP="002A1D9E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 xml:space="preserve">18. 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24. Waste Disposal Systems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25. Central Cleaning Systems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26. Electrical Distribution System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27. Appliance Maintenance, Electrical and Mechanical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28. Heating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29. Home Cooling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30. Domestic Water Heating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31. Home Environmental Considerations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32. Insulation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33. Home Energy Saving</w:t>
            </w:r>
          </w:p>
          <w:p w:rsidR="001839EF" w:rsidRPr="001839EF" w:rsidRDefault="001839EF" w:rsidP="001839EF">
            <w:pPr>
              <w:ind w:hanging="33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839EF">
              <w:rPr>
                <w:rFonts w:ascii="Verdana" w:hAnsi="Verdana"/>
                <w:color w:val="000000"/>
                <w:sz w:val="18"/>
                <w:szCs w:val="18"/>
              </w:rPr>
              <w:t>34. Developing a Career Path</w:t>
            </w:r>
          </w:p>
        </w:tc>
      </w:tr>
    </w:tbl>
    <w:p w:rsidR="00013AA0" w:rsidRDefault="00013AA0" w:rsidP="00013AA0">
      <w:pPr>
        <w:pStyle w:val="Head1"/>
      </w:pPr>
      <w:r>
        <w:t>Text</w:t>
      </w:r>
      <w:r w:rsidR="00045003">
        <w:t xml:space="preserve"> used</w:t>
      </w:r>
      <w:r>
        <w:t xml:space="preserve"> and Required Materials</w:t>
      </w:r>
    </w:p>
    <w:p w:rsidR="0092613B" w:rsidRDefault="00045003" w:rsidP="00013AA0">
      <w:pPr>
        <w:pStyle w:val="Biblio"/>
        <w:rPr>
          <w:i/>
        </w:rPr>
      </w:pPr>
      <w:proofErr w:type="gramStart"/>
      <w:r>
        <w:t>Willis H. Wagner &amp; Howard Bud Smith</w:t>
      </w:r>
      <w:r w:rsidR="00013AA0">
        <w:t>.</w:t>
      </w:r>
      <w:proofErr w:type="gramEnd"/>
      <w:r>
        <w:t xml:space="preserve"> 2008</w:t>
      </w:r>
      <w:r w:rsidR="00013AA0">
        <w:t xml:space="preserve"> </w:t>
      </w:r>
      <w:r w:rsidR="0092613B">
        <w:rPr>
          <w:i/>
        </w:rPr>
        <w:t>Modern Carpentry</w:t>
      </w:r>
    </w:p>
    <w:p w:rsidR="00013AA0" w:rsidRDefault="00013AA0" w:rsidP="00013AA0">
      <w:pPr>
        <w:pStyle w:val="Biblio"/>
      </w:pPr>
      <w:r>
        <w:rPr>
          <w:i/>
        </w:rPr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Tinley Park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 xml:space="preserve">: </w:t>
      </w:r>
      <w:proofErr w:type="spellStart"/>
      <w:r>
        <w:t>Goodheart-Willcox</w:t>
      </w:r>
      <w:proofErr w:type="spellEnd"/>
      <w:r>
        <w:t>.</w:t>
      </w:r>
    </w:p>
    <w:p w:rsidR="00013AA0" w:rsidRDefault="00013AA0" w:rsidP="00013AA0">
      <w:pPr>
        <w:pStyle w:val="Bullet1"/>
      </w:pPr>
      <w:r>
        <w:sym w:font="Symbol" w:char="F0B7"/>
      </w:r>
      <w:r>
        <w:tab/>
      </w:r>
      <w:proofErr w:type="gramStart"/>
      <w:r>
        <w:t>An ordinary calculator.</w:t>
      </w:r>
      <w:proofErr w:type="gramEnd"/>
    </w:p>
    <w:p w:rsidR="00013AA0" w:rsidRDefault="00013AA0" w:rsidP="00013AA0">
      <w:pPr>
        <w:pStyle w:val="Bullet1"/>
      </w:pPr>
      <w:r>
        <w:sym w:font="Symbol" w:char="F0B7"/>
      </w:r>
      <w:r>
        <w:tab/>
        <w:t>ANSI-approved eye protection.</w:t>
      </w:r>
    </w:p>
    <w:p w:rsidR="00013AA0" w:rsidRDefault="00013AA0" w:rsidP="00013AA0">
      <w:pPr>
        <w:pStyle w:val="Head1"/>
      </w:pPr>
      <w:r>
        <w:t>Course Schedule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>Preparing to Build</w:t>
      </w:r>
      <w:r w:rsidR="00013AA0">
        <w:tab/>
      </w:r>
      <w:r w:rsidR="00533C51">
        <w:t>Sept.4</w:t>
      </w:r>
      <w:r w:rsidR="001354C5">
        <w:t xml:space="preserve"> to </w:t>
      </w:r>
      <w:r w:rsidR="00533C51">
        <w:t>19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 xml:space="preserve">Footings, Foundations, and Framing </w:t>
      </w:r>
      <w:r w:rsidR="00013AA0">
        <w:tab/>
      </w:r>
      <w:r w:rsidR="00533C51">
        <w:t>20 to Oct. 10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>Closing In</w:t>
      </w:r>
      <w:r w:rsidR="00013AA0">
        <w:tab/>
      </w:r>
      <w:r w:rsidR="00533C51">
        <w:t>11 to 25th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>Finishing</w:t>
      </w:r>
      <w:r w:rsidR="00533C51">
        <w:t xml:space="preserve">                                                                                          26 to Nov.14</w:t>
      </w:r>
    </w:p>
    <w:p w:rsidR="006C6FC4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>Special Construction</w:t>
      </w:r>
      <w:r w:rsidR="00814777">
        <w:tab/>
      </w:r>
      <w:r w:rsidR="00533C51">
        <w:t>14 to Dec.7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lastRenderedPageBreak/>
        <w:t>Mechanical Systems</w:t>
      </w:r>
      <w:r w:rsidR="00013AA0">
        <w:tab/>
      </w:r>
      <w:r w:rsidR="00533C51">
        <w:t>10 to Jan.9</w:t>
      </w:r>
    </w:p>
    <w:p w:rsidR="00013AA0" w:rsidRDefault="006C6FC4" w:rsidP="00814777">
      <w:pPr>
        <w:pStyle w:val="Bullet2"/>
        <w:numPr>
          <w:ilvl w:val="0"/>
          <w:numId w:val="2"/>
        </w:numPr>
        <w:tabs>
          <w:tab w:val="left" w:pos="6912"/>
        </w:tabs>
      </w:pPr>
      <w:r>
        <w:t>Scaffolds and Careers</w:t>
      </w:r>
      <w:r w:rsidR="00013AA0">
        <w:tab/>
      </w:r>
      <w:r w:rsidR="001354C5">
        <w:t>10 to 25th</w:t>
      </w:r>
    </w:p>
    <w:p w:rsidR="00227BC7" w:rsidRDefault="00227BC7" w:rsidP="00013AA0">
      <w:pPr>
        <w:pStyle w:val="Head1"/>
      </w:pPr>
    </w:p>
    <w:sectPr w:rsidR="00227BC7" w:rsidSect="009C1368">
      <w:headerReference w:type="default" r:id="rId7"/>
      <w:footerReference w:type="default" r:id="rId8"/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94" w:rsidRDefault="00411794">
      <w:r>
        <w:separator/>
      </w:r>
    </w:p>
  </w:endnote>
  <w:endnote w:type="continuationSeparator" w:id="0">
    <w:p w:rsidR="00411794" w:rsidRDefault="0041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0" w:rsidRDefault="00013AA0">
    <w:pPr>
      <w:pStyle w:val="Footer"/>
      <w:tabs>
        <w:tab w:val="clear" w:pos="4320"/>
        <w:tab w:val="center" w:pos="4140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94" w:rsidRDefault="00411794">
      <w:r>
        <w:separator/>
      </w:r>
    </w:p>
  </w:footnote>
  <w:footnote w:type="continuationSeparator" w:id="0">
    <w:p w:rsidR="00411794" w:rsidRDefault="0041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0" w:rsidRDefault="00013AA0" w:rsidP="00ED41B1">
    <w:pPr>
      <w:pStyle w:val="Header"/>
      <w:tabs>
        <w:tab w:val="right" w:pos="8010"/>
      </w:tabs>
      <w:ind w:left="-1080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2FD"/>
    <w:multiLevelType w:val="hybridMultilevel"/>
    <w:tmpl w:val="5BEC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F3CDD"/>
    <w:multiLevelType w:val="hybridMultilevel"/>
    <w:tmpl w:val="78445BF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F14E60"/>
    <w:rsid w:val="00002929"/>
    <w:rsid w:val="00013AA0"/>
    <w:rsid w:val="00045003"/>
    <w:rsid w:val="000C693F"/>
    <w:rsid w:val="00132552"/>
    <w:rsid w:val="001354C5"/>
    <w:rsid w:val="001621C4"/>
    <w:rsid w:val="001839EF"/>
    <w:rsid w:val="00194BFB"/>
    <w:rsid w:val="001A68D5"/>
    <w:rsid w:val="00227BC7"/>
    <w:rsid w:val="002743FC"/>
    <w:rsid w:val="00280438"/>
    <w:rsid w:val="002A078C"/>
    <w:rsid w:val="002A1D9E"/>
    <w:rsid w:val="002C3C27"/>
    <w:rsid w:val="0036306C"/>
    <w:rsid w:val="003725F2"/>
    <w:rsid w:val="0038342B"/>
    <w:rsid w:val="003A1D76"/>
    <w:rsid w:val="003D539D"/>
    <w:rsid w:val="003F1227"/>
    <w:rsid w:val="00411794"/>
    <w:rsid w:val="0047057F"/>
    <w:rsid w:val="004926DC"/>
    <w:rsid w:val="004952F8"/>
    <w:rsid w:val="004D58F4"/>
    <w:rsid w:val="005036FF"/>
    <w:rsid w:val="00533C51"/>
    <w:rsid w:val="005D77F5"/>
    <w:rsid w:val="00620F1B"/>
    <w:rsid w:val="00633B23"/>
    <w:rsid w:val="0064052A"/>
    <w:rsid w:val="006A15B1"/>
    <w:rsid w:val="006C6FC4"/>
    <w:rsid w:val="006E7CF5"/>
    <w:rsid w:val="00706A5C"/>
    <w:rsid w:val="00803C74"/>
    <w:rsid w:val="00814777"/>
    <w:rsid w:val="00894ED1"/>
    <w:rsid w:val="0092613B"/>
    <w:rsid w:val="009A4670"/>
    <w:rsid w:val="009C1368"/>
    <w:rsid w:val="00A309CB"/>
    <w:rsid w:val="00A43346"/>
    <w:rsid w:val="00A659D4"/>
    <w:rsid w:val="00A70579"/>
    <w:rsid w:val="00AB59FD"/>
    <w:rsid w:val="00AE643D"/>
    <w:rsid w:val="00B70B4D"/>
    <w:rsid w:val="00B80AD1"/>
    <w:rsid w:val="00BA1641"/>
    <w:rsid w:val="00C67193"/>
    <w:rsid w:val="00CD4242"/>
    <w:rsid w:val="00D03D53"/>
    <w:rsid w:val="00D27D05"/>
    <w:rsid w:val="00D35BB9"/>
    <w:rsid w:val="00D4523C"/>
    <w:rsid w:val="00D47E95"/>
    <w:rsid w:val="00D80D3D"/>
    <w:rsid w:val="00DB027A"/>
    <w:rsid w:val="00DD757C"/>
    <w:rsid w:val="00E86975"/>
    <w:rsid w:val="00ED41B1"/>
    <w:rsid w:val="00F14E60"/>
    <w:rsid w:val="00F3744E"/>
    <w:rsid w:val="00F54608"/>
    <w:rsid w:val="00F56BE4"/>
    <w:rsid w:val="00FD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C1368"/>
    <w:pPr>
      <w:spacing w:after="120"/>
      <w:ind w:firstLine="720"/>
    </w:pPr>
    <w:rPr>
      <w:sz w:val="24"/>
    </w:rPr>
  </w:style>
  <w:style w:type="paragraph" w:customStyle="1" w:styleId="ChapTitle">
    <w:name w:val="Chap Title"/>
    <w:rsid w:val="009C1368"/>
    <w:pPr>
      <w:widowControl w:val="0"/>
      <w:spacing w:after="120"/>
      <w:jc w:val="center"/>
    </w:pPr>
    <w:rPr>
      <w:rFonts w:ascii="Arial" w:hAnsi="Arial"/>
      <w:b/>
      <w:sz w:val="40"/>
    </w:rPr>
  </w:style>
  <w:style w:type="paragraph" w:customStyle="1" w:styleId="Objective">
    <w:name w:val="Objective"/>
    <w:rsid w:val="009C1368"/>
    <w:pPr>
      <w:tabs>
        <w:tab w:val="left" w:pos="432"/>
      </w:tabs>
      <w:spacing w:after="60"/>
      <w:ind w:left="432" w:hanging="432"/>
    </w:pPr>
    <w:rPr>
      <w:sz w:val="24"/>
    </w:rPr>
  </w:style>
  <w:style w:type="paragraph" w:customStyle="1" w:styleId="BodyKeep">
    <w:name w:val="Body Keep"/>
    <w:rsid w:val="009C1368"/>
    <w:pPr>
      <w:spacing w:line="360" w:lineRule="auto"/>
    </w:pPr>
    <w:rPr>
      <w:sz w:val="22"/>
    </w:rPr>
  </w:style>
  <w:style w:type="paragraph" w:customStyle="1" w:styleId="Head1">
    <w:name w:val="Head 1"/>
    <w:rsid w:val="009C1368"/>
    <w:pPr>
      <w:keepNext/>
      <w:widowControl w:val="0"/>
      <w:spacing w:before="240" w:after="120"/>
      <w:ind w:left="720" w:right="720"/>
      <w:jc w:val="center"/>
      <w:outlineLvl w:val="0"/>
    </w:pPr>
    <w:rPr>
      <w:rFonts w:ascii="Arial" w:hAnsi="Arial"/>
      <w:b/>
      <w:sz w:val="32"/>
    </w:rPr>
  </w:style>
  <w:style w:type="paragraph" w:styleId="Header">
    <w:name w:val="header"/>
    <w:basedOn w:val="Normal"/>
    <w:semiHidden/>
    <w:rsid w:val="009C1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1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1368"/>
  </w:style>
  <w:style w:type="paragraph" w:customStyle="1" w:styleId="TableColumnHead">
    <w:name w:val="Table Column Head"/>
    <w:rsid w:val="009C1368"/>
    <w:rPr>
      <w:rFonts w:ascii="Arial" w:hAnsi="Arial"/>
      <w:b/>
    </w:rPr>
  </w:style>
  <w:style w:type="paragraph" w:customStyle="1" w:styleId="TableBody">
    <w:name w:val="Table Body"/>
    <w:rsid w:val="009C1368"/>
    <w:pPr>
      <w:widowControl w:val="0"/>
      <w:spacing w:after="60"/>
    </w:pPr>
    <w:rPr>
      <w:rFonts w:ascii="Arial" w:hAnsi="Arial"/>
    </w:rPr>
  </w:style>
  <w:style w:type="paragraph" w:customStyle="1" w:styleId="StyleBodyKeepPalatinoComplexBoldLatinItalic">
    <w:name w:val="Style Body Keep + Palatino (Complex) Bold (Latin) Italic"/>
    <w:basedOn w:val="BodyKeep"/>
    <w:rsid w:val="009C1368"/>
    <w:rPr>
      <w:rFonts w:ascii="Palatino" w:hAnsi="Palatino"/>
      <w:bCs/>
      <w:i/>
      <w:sz w:val="24"/>
    </w:rPr>
  </w:style>
  <w:style w:type="paragraph" w:customStyle="1" w:styleId="Bullet1">
    <w:name w:val="Bullet1"/>
    <w:rsid w:val="00280438"/>
    <w:pPr>
      <w:tabs>
        <w:tab w:val="left" w:pos="432"/>
      </w:tabs>
      <w:spacing w:line="360" w:lineRule="auto"/>
      <w:ind w:left="432" w:hanging="432"/>
    </w:pPr>
    <w:rPr>
      <w:sz w:val="22"/>
    </w:rPr>
  </w:style>
  <w:style w:type="paragraph" w:customStyle="1" w:styleId="Bullet2">
    <w:name w:val="Bullet2"/>
    <w:rsid w:val="00280438"/>
    <w:pPr>
      <w:tabs>
        <w:tab w:val="left" w:pos="864"/>
      </w:tabs>
      <w:spacing w:line="360" w:lineRule="auto"/>
      <w:ind w:left="864" w:hanging="432"/>
    </w:pPr>
    <w:rPr>
      <w:sz w:val="22"/>
    </w:rPr>
  </w:style>
  <w:style w:type="paragraph" w:customStyle="1" w:styleId="Biblio">
    <w:name w:val="Biblio"/>
    <w:basedOn w:val="BodyKeep"/>
    <w:rsid w:val="00280438"/>
    <w:pPr>
      <w:ind w:left="720" w:hanging="720"/>
    </w:pPr>
  </w:style>
  <w:style w:type="paragraph" w:styleId="BalloonText">
    <w:name w:val="Balloon Text"/>
    <w:basedOn w:val="Normal"/>
    <w:semiHidden/>
    <w:rsid w:val="003A1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5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3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164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60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8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9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6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6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3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7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0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4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34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5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33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5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4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8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7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1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0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5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72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9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5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6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81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955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0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4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6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9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5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5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AutoCAD and its Applications—Basics</vt:lpstr>
    </vt:vector>
  </TitlesOfParts>
  <Company>Goodheart-Willcox Publisher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AutoCAD and its Applications—Basics</dc:title>
  <dc:creator>Julie Dec</dc:creator>
  <cp:lastModifiedBy>rfabianski</cp:lastModifiedBy>
  <cp:revision>3</cp:revision>
  <cp:lastPrinted>2012-09-04T23:43:00Z</cp:lastPrinted>
  <dcterms:created xsi:type="dcterms:W3CDTF">2012-09-09T22:43:00Z</dcterms:created>
  <dcterms:modified xsi:type="dcterms:W3CDTF">2012-09-10T00:41:00Z</dcterms:modified>
</cp:coreProperties>
</file>